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0" w:rsidRPr="00F07940" w:rsidRDefault="00F07940" w:rsidP="00F07940">
      <w:pPr>
        <w:pStyle w:val="xfmc1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F07940">
        <w:rPr>
          <w:b/>
          <w:bCs/>
          <w:sz w:val="26"/>
          <w:szCs w:val="26"/>
          <w:lang w:val="uk-UA"/>
        </w:rPr>
        <w:t>ВИТЯГ</w:t>
      </w:r>
    </w:p>
    <w:p w:rsidR="00F07940" w:rsidRPr="00F07940" w:rsidRDefault="00F07940" w:rsidP="00F07940">
      <w:pPr>
        <w:pStyle w:val="xfmc1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F07940">
        <w:rPr>
          <w:b/>
          <w:bCs/>
          <w:sz w:val="26"/>
          <w:szCs w:val="26"/>
          <w:lang w:val="uk-UA"/>
        </w:rPr>
        <w:t xml:space="preserve">З Протоколу засідання Ради </w:t>
      </w:r>
    </w:p>
    <w:p w:rsidR="00F07940" w:rsidRPr="00F07940" w:rsidRDefault="00F07940" w:rsidP="00F07940">
      <w:pPr>
        <w:pStyle w:val="xfmc1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F07940">
        <w:rPr>
          <w:b/>
          <w:bCs/>
          <w:sz w:val="26"/>
          <w:szCs w:val="26"/>
          <w:lang w:val="uk-UA"/>
        </w:rPr>
        <w:t xml:space="preserve">Громадської організації </w:t>
      </w:r>
    </w:p>
    <w:p w:rsidR="00F07940" w:rsidRPr="00F07940" w:rsidRDefault="00F07940" w:rsidP="00F07940">
      <w:pPr>
        <w:pStyle w:val="xfmc1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 w:rsidRPr="00F07940">
        <w:rPr>
          <w:b/>
          <w:bCs/>
          <w:sz w:val="26"/>
          <w:szCs w:val="26"/>
          <w:lang w:val="uk-UA"/>
        </w:rPr>
        <w:t xml:space="preserve">«Всеукраїнське об’єднання «Українське товариство оцінювачів» </w:t>
      </w:r>
    </w:p>
    <w:p w:rsidR="00F07940" w:rsidRPr="00F07940" w:rsidRDefault="00F07940" w:rsidP="00F07940">
      <w:pPr>
        <w:pStyle w:val="xfmc1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F07940">
        <w:rPr>
          <w:b/>
          <w:bCs/>
          <w:sz w:val="26"/>
          <w:szCs w:val="26"/>
          <w:lang w:val="uk-UA"/>
        </w:rPr>
        <w:t>№123 від 26.11.2019 року</w:t>
      </w:r>
    </w:p>
    <w:p w:rsidR="00F07940" w:rsidRPr="00F07940" w:rsidRDefault="00F07940" w:rsidP="00F0794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07940">
        <w:rPr>
          <w:rFonts w:ascii="Times New Roman" w:hAnsi="Times New Roman"/>
          <w:sz w:val="26"/>
          <w:szCs w:val="26"/>
        </w:rPr>
        <w:t>У складі Ради 47 осіб.</w:t>
      </w:r>
    </w:p>
    <w:p w:rsidR="00F07940" w:rsidRPr="00F07940" w:rsidRDefault="00F07940" w:rsidP="00F0794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07940">
        <w:rPr>
          <w:rFonts w:ascii="Times New Roman" w:hAnsi="Times New Roman"/>
          <w:sz w:val="26"/>
          <w:szCs w:val="26"/>
        </w:rPr>
        <w:t>Всього в наявності 31 голос, що складає 56 % від загального складу Ради УТО.</w:t>
      </w:r>
    </w:p>
    <w:p w:rsidR="00F07940" w:rsidRPr="00F07940" w:rsidRDefault="00F07940" w:rsidP="00F07940">
      <w:pPr>
        <w:pStyle w:val="xfmc1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r w:rsidRPr="00F07940">
        <w:rPr>
          <w:b/>
          <w:sz w:val="26"/>
          <w:szCs w:val="26"/>
          <w:lang w:val="uk-UA"/>
        </w:rPr>
        <w:t>Порядок денний</w:t>
      </w:r>
    </w:p>
    <w:p w:rsidR="00F07940" w:rsidRPr="00F07940" w:rsidRDefault="00F07940" w:rsidP="00F07940">
      <w:pPr>
        <w:pStyle w:val="xfmc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07940">
        <w:rPr>
          <w:color w:val="000000" w:themeColor="text1"/>
          <w:sz w:val="26"/>
          <w:szCs w:val="26"/>
          <w:lang w:val="uk-UA"/>
        </w:rPr>
        <w:t>Питання 12.</w:t>
      </w:r>
      <w:r w:rsidRPr="00F07940">
        <w:rPr>
          <w:color w:val="FF0000"/>
          <w:sz w:val="26"/>
          <w:szCs w:val="26"/>
          <w:lang w:val="uk-UA"/>
        </w:rPr>
        <w:t xml:space="preserve"> </w:t>
      </w:r>
      <w:r w:rsidRPr="00F07940">
        <w:rPr>
          <w:sz w:val="26"/>
          <w:szCs w:val="26"/>
          <w:lang w:val="uk-UA"/>
        </w:rPr>
        <w:t xml:space="preserve">Обговорення та затвердження розширеного переліку орієнтовної вартості робіт з рецензування звітів з оцінки, в тому числі для відділень УТО. </w:t>
      </w:r>
    </w:p>
    <w:p w:rsidR="00F07940" w:rsidRPr="00F07940" w:rsidRDefault="00F07940" w:rsidP="00F07940">
      <w:pPr>
        <w:pStyle w:val="xfmc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F07940">
        <w:rPr>
          <w:sz w:val="26"/>
          <w:szCs w:val="26"/>
          <w:lang w:val="uk-UA"/>
        </w:rPr>
        <w:t xml:space="preserve">Винесено на голосування питання </w:t>
      </w:r>
      <w:r w:rsidRPr="00F07940">
        <w:rPr>
          <w:color w:val="000000" w:themeColor="text1"/>
          <w:sz w:val="26"/>
          <w:szCs w:val="26"/>
          <w:lang w:val="uk-UA"/>
        </w:rPr>
        <w:t>прийняття орієнтовних тарифів за розширеним переліком.</w:t>
      </w:r>
    </w:p>
    <w:p w:rsidR="00F07940" w:rsidRPr="00F07940" w:rsidRDefault="00F07940" w:rsidP="00F07940">
      <w:pPr>
        <w:pStyle w:val="xfmc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07940">
        <w:rPr>
          <w:sz w:val="26"/>
          <w:szCs w:val="26"/>
          <w:lang w:val="uk-UA"/>
        </w:rPr>
        <w:t>Прийнято одностайно.</w:t>
      </w:r>
    </w:p>
    <w:tbl>
      <w:tblPr>
        <w:tblW w:w="10554" w:type="dxa"/>
        <w:jc w:val="center"/>
        <w:tblInd w:w="-5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664"/>
        <w:gridCol w:w="6808"/>
        <w:gridCol w:w="2212"/>
      </w:tblGrid>
      <w:tr w:rsidR="00F07940" w:rsidRPr="004E17DC" w:rsidTr="005D0268">
        <w:trPr>
          <w:cantSplit/>
          <w:trHeight w:val="1312"/>
          <w:jc w:val="center"/>
        </w:trPr>
        <w:tc>
          <w:tcPr>
            <w:tcW w:w="870" w:type="dxa"/>
            <w:shd w:val="clear" w:color="auto" w:fill="auto"/>
            <w:textDirection w:val="btLr"/>
            <w:vAlign w:val="center"/>
          </w:tcPr>
          <w:p w:rsidR="00F07940" w:rsidRPr="004E17DC" w:rsidRDefault="00F07940" w:rsidP="005D02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Категорія</w:t>
            </w:r>
          </w:p>
          <w:p w:rsidR="00F07940" w:rsidRPr="004E17DC" w:rsidRDefault="00F07940" w:rsidP="005D02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складності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F07940" w:rsidRPr="004E17DC" w:rsidRDefault="00F07940" w:rsidP="005D02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Підкласи складності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Характеристика об’єкта оцінки</w:t>
            </w:r>
          </w:p>
        </w:tc>
        <w:tc>
          <w:tcPr>
            <w:tcW w:w="2212" w:type="dxa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Діючий, тис. грн.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І, ІІ, ІІІ, ІV</w:t>
            </w: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Будівлі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Приміщення, квартира площею до 100м</w:t>
            </w:r>
            <w:r w:rsidRPr="004E17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– 1,5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Група приміщень, будівля площею до 500м</w:t>
            </w:r>
            <w:r w:rsidRPr="004E17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2,5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Група приміщень, будівля площею 500м</w:t>
            </w:r>
            <w:r w:rsidRPr="004E17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E17DC">
              <w:rPr>
                <w:rFonts w:ascii="Times New Roman" w:hAnsi="Times New Roman"/>
                <w:sz w:val="20"/>
                <w:szCs w:val="20"/>
              </w:rPr>
              <w:t xml:space="preserve"> – 1000м</w:t>
            </w:r>
            <w:r w:rsidRPr="004E17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2,5 – 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Будівля, площею більше 1,0 тис м</w:t>
            </w:r>
            <w:r w:rsidRPr="004E17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E17DC">
              <w:rPr>
                <w:rFonts w:ascii="Times New Roman" w:hAnsi="Times New Roman"/>
                <w:sz w:val="20"/>
                <w:szCs w:val="20"/>
              </w:rPr>
              <w:t>, майновий комплекс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5,0 - 10,0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Мережі та споруди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 xml:space="preserve">Мережі 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Споруди (аналогічно)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Спеціалізовані споруди (гідротехнічні, берегоукріплювальні, мости, переходи, метро та інше)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3,0 – 10,0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Колісно-транспортні засоби (КТЗ)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КТЗ, окрім зазначених у п. 1.6.  за один об’єкт у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– 1,5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Спеціальні, спеціалізовані та з обмеженим ринком  КТЗ за один об’єкт у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3,0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КТЗ, окрім зазначених у п. 1.6. від п’яти одиниць і більше в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0,5 за одиницю, але не менше 8,0 за звіт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Спеціальні, спеціалізовані та з обмеженим ринком  КТЗ від п’яти одиниць і більше в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за одиницю, але не менше 10,0 за звіт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Серійного типу виробництва від одного  до десяти одиниць у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– 1,5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Серійного типу виробництва від десяти одиниць і більше в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0,15 за одиницю, але не менше 3,0 за звіт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Одиничного типу виробництва (унікальні верстати, турбіни, прокатні стани, потужні електричні машини та інше) за один об’єкт у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Одиничного типу виробництва (унікальні верстати, турбіни, прокатні стани, потужні електричні машини та інше) від п’яти одиниць і більше в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за одиницю, але не менше 10,0 за звіт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Необоротні активи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Група необоротних активів (до 500 од.)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2,5 – 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Група необоротних активів (від 500 до 5000 од.)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5,0 – 10,0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Група необоротних активів більше 5000 од.)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10,0 – 25,0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Земельні ділянки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Земельні ділянки, групи (не поліпшені)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2,5 – 10,0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Земельні ділянки, групи (поліпшені)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5,0 – 12,0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4" w:type="dxa"/>
            <w:gridSpan w:val="3"/>
            <w:shd w:val="clear" w:color="auto" w:fill="auto"/>
            <w:vAlign w:val="center"/>
          </w:tcPr>
          <w:p w:rsidR="00F07940" w:rsidRPr="004E17DC" w:rsidRDefault="00F07940" w:rsidP="00F079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Літальні апарати ЛА, судноплавні засоби СЗ</w:t>
            </w:r>
          </w:p>
        </w:tc>
      </w:tr>
      <w:tr w:rsidR="00F07940" w:rsidRPr="004E17DC" w:rsidTr="005D0268">
        <w:trPr>
          <w:trHeight w:val="281"/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ЛА та СЗ за один об’єкт у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5,0</w:t>
            </w:r>
          </w:p>
        </w:tc>
      </w:tr>
      <w:tr w:rsidR="00F07940" w:rsidRPr="004E17DC" w:rsidTr="005D0268">
        <w:trPr>
          <w:trHeight w:val="540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ЛА та СЗ від п’яти одиниць і більше в звіті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1,0 за одиницю, але не менше 10,0 за звіт</w:t>
            </w:r>
          </w:p>
        </w:tc>
      </w:tr>
      <w:tr w:rsidR="00F07940" w:rsidRPr="004E17DC" w:rsidTr="005D0268">
        <w:trPr>
          <w:trHeight w:val="237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 xml:space="preserve">Інше 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1,5 – 5,0</w:t>
            </w:r>
          </w:p>
        </w:tc>
      </w:tr>
      <w:tr w:rsidR="00F07940" w:rsidRPr="004E17DC" w:rsidTr="005D0268">
        <w:trPr>
          <w:trHeight w:val="312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І, ІІ, ІІІ, ІV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Пакети акцій, корпоративні права, єдині (цілісні) майнові комплекси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10,0 – 30,0</w:t>
            </w:r>
          </w:p>
        </w:tc>
      </w:tr>
      <w:tr w:rsidR="00F07940" w:rsidRPr="004E17DC" w:rsidTr="005D0268">
        <w:trPr>
          <w:jc w:val="center"/>
        </w:trPr>
        <w:tc>
          <w:tcPr>
            <w:tcW w:w="870" w:type="dxa"/>
            <w:vMerge/>
            <w:shd w:val="clear" w:color="auto" w:fill="auto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808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7DC">
              <w:rPr>
                <w:rFonts w:ascii="Times New Roman" w:hAnsi="Times New Roman"/>
                <w:sz w:val="20"/>
                <w:szCs w:val="20"/>
              </w:rPr>
              <w:t>НМА та ОПІВ</w:t>
            </w:r>
          </w:p>
        </w:tc>
        <w:tc>
          <w:tcPr>
            <w:tcW w:w="2212" w:type="dxa"/>
            <w:vAlign w:val="center"/>
          </w:tcPr>
          <w:p w:rsidR="00F07940" w:rsidRPr="004E17DC" w:rsidRDefault="00F07940" w:rsidP="00A9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7DC">
              <w:rPr>
                <w:rFonts w:ascii="Times New Roman" w:hAnsi="Times New Roman"/>
                <w:b/>
                <w:sz w:val="20"/>
                <w:szCs w:val="20"/>
              </w:rPr>
              <w:t>3,0 – 10,0</w:t>
            </w:r>
          </w:p>
        </w:tc>
      </w:tr>
    </w:tbl>
    <w:p w:rsidR="00F07940" w:rsidRDefault="00F07940" w:rsidP="00A34EA6">
      <w:bookmarkStart w:id="0" w:name="_GoBack"/>
      <w:bookmarkEnd w:id="0"/>
    </w:p>
    <w:sectPr w:rsidR="00F07940" w:rsidSect="00F0794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14D"/>
    <w:multiLevelType w:val="hybridMultilevel"/>
    <w:tmpl w:val="22F2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0"/>
    <w:rsid w:val="005D0268"/>
    <w:rsid w:val="00737A4A"/>
    <w:rsid w:val="00A34EA6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40"/>
    <w:pPr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F07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uiPriority w:val="99"/>
    <w:semiHidden/>
    <w:rsid w:val="00F07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40"/>
    <w:pPr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F07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uiPriority w:val="99"/>
    <w:semiHidden/>
    <w:rsid w:val="00F07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2020-01-06T20:28:00Z</dcterms:created>
  <dcterms:modified xsi:type="dcterms:W3CDTF">2020-01-06T20:28:00Z</dcterms:modified>
</cp:coreProperties>
</file>