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8C91C" w14:textId="77777777" w:rsidR="00701C2F" w:rsidRPr="00701C2F" w:rsidRDefault="00701C2F" w:rsidP="00701C2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lang w:val="uk-UA"/>
        </w:rPr>
      </w:pPr>
      <w:r w:rsidRPr="00701C2F">
        <w:rPr>
          <w:rFonts w:ascii="Times New Roman" w:hAnsi="Times New Roman" w:cs="Times New Roman"/>
          <w:b/>
          <w:lang w:val="uk-UA"/>
        </w:rPr>
        <w:t>Затверджено Радою УТО</w:t>
      </w:r>
    </w:p>
    <w:p w14:paraId="60A8156E" w14:textId="77777777" w:rsidR="00701C2F" w:rsidRPr="00701C2F" w:rsidRDefault="00701C2F" w:rsidP="00701C2F">
      <w:pPr>
        <w:widowControl w:val="0"/>
        <w:tabs>
          <w:tab w:val="right" w:pos="3057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701C2F">
        <w:rPr>
          <w:rFonts w:ascii="Times New Roman" w:hAnsi="Times New Roman" w:cs="Times New Roman"/>
          <w:b/>
          <w:color w:val="000000" w:themeColor="text1"/>
          <w:lang w:val="uk-UA"/>
        </w:rPr>
        <w:t>Протокол № 138 від « 20 » березня 2024 р.</w:t>
      </w:r>
    </w:p>
    <w:p w14:paraId="2B4B0A22" w14:textId="77777777" w:rsidR="00701C2F" w:rsidRDefault="00701C2F" w:rsidP="00DB24F0">
      <w:pPr>
        <w:pStyle w:val="a3"/>
        <w:spacing w:before="60" w:beforeAutospacing="0" w:after="0" w:afterAutospacing="0"/>
        <w:ind w:firstLine="5245"/>
        <w:jc w:val="right"/>
        <w:rPr>
          <w:b/>
          <w:lang w:val="uk-UA"/>
        </w:rPr>
      </w:pPr>
    </w:p>
    <w:p w14:paraId="482C886A" w14:textId="77777777" w:rsidR="00B520D6" w:rsidRPr="00E83AC1" w:rsidRDefault="00B520D6" w:rsidP="00DB24F0">
      <w:pPr>
        <w:pStyle w:val="a3"/>
        <w:spacing w:before="60" w:beforeAutospacing="0" w:after="0" w:afterAutospacing="0"/>
        <w:ind w:firstLine="5245"/>
        <w:jc w:val="right"/>
        <w:rPr>
          <w:b/>
          <w:lang w:val="uk-UA"/>
        </w:rPr>
      </w:pPr>
      <w:bookmarkStart w:id="0" w:name="_GoBack"/>
      <w:bookmarkEnd w:id="0"/>
      <w:r w:rsidRPr="00E83AC1">
        <w:rPr>
          <w:b/>
          <w:lang w:val="uk-UA"/>
        </w:rPr>
        <w:t xml:space="preserve">Голова Ради УТО </w:t>
      </w:r>
    </w:p>
    <w:p w14:paraId="6F7A14AF" w14:textId="77777777" w:rsidR="00B520D6" w:rsidRPr="00E83AC1" w:rsidRDefault="005C1F7D" w:rsidP="00DB24F0">
      <w:pPr>
        <w:pStyle w:val="a3"/>
        <w:spacing w:before="60" w:beforeAutospacing="0" w:after="0" w:afterAutospacing="0"/>
        <w:ind w:firstLine="5245"/>
        <w:jc w:val="right"/>
        <w:rPr>
          <w:b/>
          <w:lang w:val="uk-UA"/>
        </w:rPr>
      </w:pPr>
      <w:r>
        <w:rPr>
          <w:b/>
          <w:lang w:val="uk-UA"/>
        </w:rPr>
        <w:t>Ірина ІВАНОВА</w:t>
      </w:r>
    </w:p>
    <w:p w14:paraId="39787709" w14:textId="77777777" w:rsidR="00B520D6" w:rsidRPr="00B520D6" w:rsidRDefault="00B520D6" w:rsidP="00DB24F0">
      <w:pPr>
        <w:pStyle w:val="a3"/>
        <w:spacing w:before="60" w:beforeAutospacing="0" w:after="0" w:afterAutospacing="0"/>
        <w:ind w:firstLine="5245"/>
        <w:jc w:val="right"/>
        <w:rPr>
          <w:b/>
          <w:lang w:val="uk-UA"/>
        </w:rPr>
      </w:pPr>
    </w:p>
    <w:p w14:paraId="5D7B58AD" w14:textId="77777777" w:rsidR="00E83AC1" w:rsidRDefault="00B520D6" w:rsidP="00DB24F0">
      <w:pPr>
        <w:spacing w:before="6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3AC1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  <w:r w:rsidRPr="00E83AC1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E83AC1" w:rsidRPr="00E83AC1">
        <w:rPr>
          <w:rFonts w:ascii="Times New Roman" w:hAnsi="Times New Roman" w:cs="Times New Roman"/>
          <w:b/>
          <w:sz w:val="28"/>
          <w:szCs w:val="28"/>
          <w:lang w:val="uk-UA"/>
        </w:rPr>
        <w:t>про присво</w:t>
      </w:r>
      <w:r w:rsidR="00E83AC1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="00E83AC1" w:rsidRPr="00E83A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ння кваліфікаційних звань членам </w:t>
      </w:r>
      <w:r w:rsidR="00E83A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="00E83AC1" w:rsidRPr="00E83A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Громадської організації «Всеукраїнське об’єднання </w:t>
      </w:r>
    </w:p>
    <w:p w14:paraId="6005DED4" w14:textId="2360A6C0" w:rsidR="00E83AC1" w:rsidRDefault="00E83AC1" w:rsidP="00DB24F0">
      <w:pPr>
        <w:spacing w:before="6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3AC1">
        <w:rPr>
          <w:rFonts w:ascii="Times New Roman" w:hAnsi="Times New Roman" w:cs="Times New Roman"/>
          <w:b/>
          <w:sz w:val="28"/>
          <w:szCs w:val="28"/>
          <w:lang w:val="uk-UA"/>
        </w:rPr>
        <w:t>«Українське товариство оцінювачів» (УТО)</w:t>
      </w:r>
    </w:p>
    <w:p w14:paraId="726D331E" w14:textId="77777777" w:rsidR="00DB24F0" w:rsidRDefault="00DB24F0" w:rsidP="00DB24F0">
      <w:pPr>
        <w:spacing w:before="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9EAE4E" w14:textId="624EFCA8" w:rsidR="00DB24F0" w:rsidRPr="00DB24F0" w:rsidRDefault="00DB24F0" w:rsidP="00DB24F0">
      <w:pPr>
        <w:spacing w:before="6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>Це Положення прийнято Радою УТО  на підставі рішення загальних зборів УТО від 26.04.99 р., та Закону України «Про оцінку майна, майнових прав та професійну оціночну діяльність в Україні» з метою впровадження та регулювання процедури присвоєння професійних кваліфікаційних звань оцінювачами, що є членами УТО (далі - оцінювачі).</w:t>
      </w:r>
    </w:p>
    <w:p w14:paraId="5CFC7806" w14:textId="1C11B025" w:rsidR="00DB24F0" w:rsidRPr="00DB24F0" w:rsidRDefault="00DB24F0" w:rsidP="00DB24F0">
      <w:pPr>
        <w:spacing w:before="6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>1. Оцінювачам, які являються дійсними членами УТО, можуть бути присвоєні наступні кваліфікаційні звання: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>Експерт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>оцінювач УТО</w:t>
      </w:r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>Провідний експерт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>оцінювач УТО</w:t>
      </w:r>
      <w:r>
        <w:rPr>
          <w:rFonts w:ascii="Times New Roman" w:hAnsi="Times New Roman" w:cs="Times New Roman"/>
          <w:sz w:val="28"/>
          <w:szCs w:val="28"/>
          <w:lang w:val="uk-UA"/>
        </w:rPr>
        <w:t>» та «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>Заслужений експерт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>оцінювач УТО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B3FB57E" w14:textId="1B258B31" w:rsidR="00DB24F0" w:rsidRPr="00DB24F0" w:rsidRDefault="00DB24F0" w:rsidP="00DB24F0">
      <w:pPr>
        <w:spacing w:before="6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Кваліфікаційне звання оцінювача вказується в Кваліфікаційному </w:t>
      </w:r>
      <w:r w:rsidRPr="00DB24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посвідченні 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>оцінювача УТО.</w:t>
      </w:r>
    </w:p>
    <w:p w14:paraId="2CA4FF10" w14:textId="4323DCF6" w:rsidR="00DB24F0" w:rsidRPr="00DB24F0" w:rsidRDefault="00DB24F0" w:rsidP="00DB24F0">
      <w:pPr>
        <w:spacing w:before="6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>2. «Експерт-оцінювач УТО».</w:t>
      </w:r>
    </w:p>
    <w:p w14:paraId="50D9D1F1" w14:textId="3315EB7F" w:rsidR="00DB24F0" w:rsidRPr="00DB24F0" w:rsidRDefault="00DB24F0" w:rsidP="00DB24F0">
      <w:pPr>
        <w:pStyle w:val="ac"/>
        <w:spacing w:before="60" w:line="240" w:lineRule="auto"/>
        <w:ind w:left="-567" w:right="0" w:firstLine="567"/>
        <w:rPr>
          <w:szCs w:val="28"/>
        </w:rPr>
      </w:pPr>
      <w:r w:rsidRPr="00DB24F0">
        <w:rPr>
          <w:szCs w:val="28"/>
        </w:rPr>
        <w:t xml:space="preserve">Кваліфікаційне звання «Експерт - оцінювач УТО» присвоюється відповідно до п.4 Положення про порядок внутрішньої сертифікації членів УТО (за винятком </w:t>
      </w:r>
      <w:proofErr w:type="spellStart"/>
      <w:r w:rsidRPr="00DB24F0">
        <w:rPr>
          <w:szCs w:val="28"/>
        </w:rPr>
        <w:t>абз</w:t>
      </w:r>
      <w:proofErr w:type="spellEnd"/>
      <w:r w:rsidRPr="00DB24F0">
        <w:rPr>
          <w:szCs w:val="28"/>
        </w:rPr>
        <w:t>. 5 та 6).</w:t>
      </w:r>
    </w:p>
    <w:p w14:paraId="4F57EF2E" w14:textId="77777777" w:rsidR="00DB24F0" w:rsidRPr="00DB24F0" w:rsidRDefault="00DB24F0" w:rsidP="00DB24F0">
      <w:pPr>
        <w:pStyle w:val="ac"/>
        <w:spacing w:before="60" w:line="240" w:lineRule="auto"/>
        <w:ind w:left="-567" w:right="0" w:firstLine="567"/>
        <w:rPr>
          <w:szCs w:val="28"/>
        </w:rPr>
      </w:pPr>
      <w:r w:rsidRPr="00DB24F0">
        <w:rPr>
          <w:szCs w:val="28"/>
        </w:rPr>
        <w:t>Експерти - оцінювачі УТО зобов’язані:</w:t>
      </w:r>
    </w:p>
    <w:p w14:paraId="7B7F8F60" w14:textId="6AF83F40" w:rsidR="00DB24F0" w:rsidRPr="00DB24F0" w:rsidRDefault="00DB24F0" w:rsidP="00DB24F0">
      <w:pPr>
        <w:pStyle w:val="ac"/>
        <w:numPr>
          <w:ilvl w:val="0"/>
          <w:numId w:val="11"/>
        </w:numPr>
        <w:spacing w:before="60" w:line="240" w:lineRule="auto"/>
        <w:ind w:left="-567" w:right="0" w:firstLine="567"/>
        <w:rPr>
          <w:szCs w:val="28"/>
        </w:rPr>
      </w:pPr>
      <w:r w:rsidRPr="00DB24F0">
        <w:rPr>
          <w:szCs w:val="28"/>
        </w:rPr>
        <w:t>проходити курси з підвищення кваліфікації за відповідною спеціалізацією один раз на два роки;</w:t>
      </w:r>
    </w:p>
    <w:p w14:paraId="0A598543" w14:textId="154408B7" w:rsidR="00DB24F0" w:rsidRPr="00DB24F0" w:rsidRDefault="00DB24F0" w:rsidP="00DB24F0">
      <w:pPr>
        <w:pStyle w:val="ac"/>
        <w:numPr>
          <w:ilvl w:val="0"/>
          <w:numId w:val="11"/>
        </w:numPr>
        <w:spacing w:before="60" w:line="240" w:lineRule="auto"/>
        <w:ind w:left="-567" w:right="0" w:firstLine="567"/>
        <w:rPr>
          <w:szCs w:val="28"/>
        </w:rPr>
      </w:pPr>
      <w:r w:rsidRPr="00DB24F0">
        <w:rPr>
          <w:szCs w:val="28"/>
        </w:rPr>
        <w:t>представляти на розгляд Експертної Ради УТО не менше одного разу на рік звіт про оцінку майна та/або майнових прав за напрямами оцінки, вказаними в Кваліфікаційному посвідченні експерта-оцінювача УТО або  виконання процедур професійного зростання відповідно до  пункту 9 Положення про порядок внутрішньої сертифікації членів УТО.</w:t>
      </w:r>
    </w:p>
    <w:p w14:paraId="252DD11E" w14:textId="6E6CBAC2" w:rsidR="00DB24F0" w:rsidRPr="00DB24F0" w:rsidRDefault="00DB24F0" w:rsidP="00DB24F0">
      <w:pPr>
        <w:spacing w:before="6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2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«Провідний експерт-оцінювач УТО».</w:t>
      </w:r>
    </w:p>
    <w:p w14:paraId="641BB18D" w14:textId="1FFF925A" w:rsidR="00DB24F0" w:rsidRPr="00DB24F0" w:rsidRDefault="00DB24F0" w:rsidP="00DB24F0">
      <w:pPr>
        <w:pStyle w:val="aa"/>
        <w:spacing w:before="60"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24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Кваліфікаційне звання «Провідний експерт-оцінювач УТО» присвоюється оцінювачам, що мають стаж з оціночної діяльності не менше 5 років. Ця кваліфікація присвоюється Радою УТО на підставі подання Комітету з внутрішньої сертифікації УТО. </w:t>
      </w:r>
    </w:p>
    <w:p w14:paraId="3BB60E14" w14:textId="3D6B9ABA" w:rsidR="00DB24F0" w:rsidRPr="00E83AC1" w:rsidRDefault="00DB24F0" w:rsidP="00DB24F0">
      <w:pPr>
        <w:pStyle w:val="ac"/>
        <w:spacing w:before="60" w:line="240" w:lineRule="auto"/>
        <w:ind w:left="-567" w:right="0" w:firstLine="567"/>
        <w:rPr>
          <w:szCs w:val="28"/>
        </w:rPr>
      </w:pPr>
      <w:r w:rsidRPr="00DB24F0">
        <w:rPr>
          <w:szCs w:val="28"/>
        </w:rPr>
        <w:t>Відповідно до рішення з'їзду УТО від 26 квітня 1999 р. (Конча-Заспа) для при</w:t>
      </w:r>
      <w:r w:rsidRPr="00E83AC1">
        <w:rPr>
          <w:szCs w:val="28"/>
        </w:rPr>
        <w:t>своєння цієї кваліфікації необхідне виконання наступних вимог:</w:t>
      </w:r>
    </w:p>
    <w:p w14:paraId="5246D614" w14:textId="77777777" w:rsidR="00DB24F0" w:rsidRPr="00E83AC1" w:rsidRDefault="00DB24F0" w:rsidP="00DB24F0">
      <w:pPr>
        <w:pStyle w:val="ac"/>
        <w:numPr>
          <w:ilvl w:val="0"/>
          <w:numId w:val="11"/>
        </w:numPr>
        <w:spacing w:before="60" w:line="240" w:lineRule="auto"/>
        <w:ind w:left="-567" w:right="0" w:firstLine="567"/>
        <w:rPr>
          <w:szCs w:val="28"/>
        </w:rPr>
      </w:pPr>
      <w:r w:rsidRPr="00E83AC1">
        <w:rPr>
          <w:szCs w:val="28"/>
        </w:rPr>
        <w:t>обов'язкове проходження курсів УТО з підвищення кваліфікації один раз на два роки;</w:t>
      </w:r>
    </w:p>
    <w:p w14:paraId="028F9BAE" w14:textId="77777777" w:rsidR="00DB24F0" w:rsidRPr="00E83AC1" w:rsidRDefault="00DB24F0" w:rsidP="00DB24F0">
      <w:pPr>
        <w:pStyle w:val="ac"/>
        <w:numPr>
          <w:ilvl w:val="0"/>
          <w:numId w:val="11"/>
        </w:numPr>
        <w:spacing w:before="60" w:line="240" w:lineRule="auto"/>
        <w:ind w:left="-567" w:right="0" w:firstLine="567"/>
        <w:rPr>
          <w:szCs w:val="28"/>
        </w:rPr>
      </w:pPr>
      <w:r w:rsidRPr="00E83AC1">
        <w:rPr>
          <w:szCs w:val="28"/>
        </w:rPr>
        <w:t xml:space="preserve">отримання рекомендації від Експертної Ради УТО на підставі розгляду 3-х </w:t>
      </w:r>
      <w:r w:rsidRPr="00E83AC1">
        <w:rPr>
          <w:szCs w:val="28"/>
        </w:rPr>
        <w:lastRenderedPageBreak/>
        <w:t>оціночних звітів за обраною спеціальністю;</w:t>
      </w:r>
    </w:p>
    <w:p w14:paraId="5A541097" w14:textId="77777777" w:rsidR="00DB24F0" w:rsidRPr="00E83AC1" w:rsidRDefault="00DB24F0" w:rsidP="00DB24F0">
      <w:pPr>
        <w:pStyle w:val="ac"/>
        <w:numPr>
          <w:ilvl w:val="0"/>
          <w:numId w:val="11"/>
        </w:numPr>
        <w:spacing w:before="60" w:line="240" w:lineRule="auto"/>
        <w:ind w:left="-567" w:right="0" w:firstLine="567"/>
        <w:rPr>
          <w:szCs w:val="28"/>
        </w:rPr>
      </w:pPr>
      <w:r w:rsidRPr="00E83AC1">
        <w:rPr>
          <w:szCs w:val="28"/>
        </w:rPr>
        <w:t>представлення друкованих матеріалів з питань оцінки (у вигляді лекцій, виступів, рефератів, друкованих видань).</w:t>
      </w:r>
    </w:p>
    <w:p w14:paraId="660D5B67" w14:textId="14BF8965" w:rsidR="00DB24F0" w:rsidRPr="00E83AC1" w:rsidRDefault="00DB24F0" w:rsidP="00DB24F0">
      <w:pPr>
        <w:pStyle w:val="ac"/>
        <w:spacing w:before="60" w:line="240" w:lineRule="auto"/>
        <w:ind w:left="-567" w:right="0" w:firstLine="567"/>
        <w:rPr>
          <w:szCs w:val="28"/>
        </w:rPr>
      </w:pPr>
      <w:r>
        <w:rPr>
          <w:szCs w:val="28"/>
        </w:rPr>
        <w:t>«</w:t>
      </w:r>
      <w:r w:rsidRPr="00E83AC1">
        <w:rPr>
          <w:szCs w:val="28"/>
        </w:rPr>
        <w:t>Провідний експерт</w:t>
      </w:r>
      <w:r>
        <w:rPr>
          <w:szCs w:val="28"/>
        </w:rPr>
        <w:t>-</w:t>
      </w:r>
      <w:r w:rsidRPr="00E83AC1">
        <w:rPr>
          <w:szCs w:val="28"/>
        </w:rPr>
        <w:t>оцінювач УТО</w:t>
      </w:r>
      <w:r>
        <w:rPr>
          <w:szCs w:val="28"/>
        </w:rPr>
        <w:t>»</w:t>
      </w:r>
      <w:r w:rsidRPr="00E83AC1">
        <w:rPr>
          <w:szCs w:val="28"/>
        </w:rPr>
        <w:t xml:space="preserve"> зобов’язаний:</w:t>
      </w:r>
    </w:p>
    <w:p w14:paraId="29787A80" w14:textId="77777777" w:rsidR="00DB24F0" w:rsidRPr="00E83AC1" w:rsidRDefault="00DB24F0" w:rsidP="00DB24F0">
      <w:pPr>
        <w:pStyle w:val="ac"/>
        <w:numPr>
          <w:ilvl w:val="0"/>
          <w:numId w:val="11"/>
        </w:numPr>
        <w:spacing w:before="60" w:line="240" w:lineRule="auto"/>
        <w:ind w:left="-567" w:right="0" w:firstLine="567"/>
        <w:rPr>
          <w:szCs w:val="28"/>
        </w:rPr>
      </w:pPr>
      <w:r w:rsidRPr="00E83AC1">
        <w:rPr>
          <w:szCs w:val="28"/>
        </w:rPr>
        <w:t>забезпечувати виконання експертної оцінки з найвищ</w:t>
      </w:r>
      <w:r w:rsidRPr="00DB24F0">
        <w:rPr>
          <w:szCs w:val="28"/>
        </w:rPr>
        <w:t>и</w:t>
      </w:r>
      <w:r w:rsidRPr="00E83AC1">
        <w:rPr>
          <w:szCs w:val="28"/>
        </w:rPr>
        <w:t>м ступенем якості;</w:t>
      </w:r>
    </w:p>
    <w:p w14:paraId="7E537F9C" w14:textId="77777777" w:rsidR="00DB24F0" w:rsidRDefault="00DB24F0" w:rsidP="00DB24F0">
      <w:pPr>
        <w:pStyle w:val="ac"/>
        <w:numPr>
          <w:ilvl w:val="0"/>
          <w:numId w:val="11"/>
        </w:numPr>
        <w:spacing w:before="60" w:line="240" w:lineRule="auto"/>
        <w:ind w:left="-567" w:right="0" w:firstLine="567"/>
        <w:rPr>
          <w:szCs w:val="28"/>
        </w:rPr>
      </w:pPr>
      <w:r w:rsidRPr="00E83AC1">
        <w:rPr>
          <w:szCs w:val="28"/>
        </w:rPr>
        <w:t>представляти на розгляд Експертної Ради УТО не менше одного разу на два роки звіту про</w:t>
      </w:r>
      <w:r>
        <w:rPr>
          <w:szCs w:val="28"/>
        </w:rPr>
        <w:t xml:space="preserve"> експертну оцінку майна та</w:t>
      </w:r>
      <w:r w:rsidRPr="00E83AC1">
        <w:rPr>
          <w:szCs w:val="28"/>
        </w:rPr>
        <w:t xml:space="preserve"> майнових прав</w:t>
      </w:r>
      <w:r>
        <w:rPr>
          <w:szCs w:val="28"/>
        </w:rPr>
        <w:t xml:space="preserve"> або </w:t>
      </w:r>
      <w:r w:rsidRPr="005C1F7D">
        <w:rPr>
          <w:szCs w:val="28"/>
        </w:rPr>
        <w:t xml:space="preserve">щорічно виконувати процедури професійного зростання відповідно до  пункту 9 Положення про порядок внутрішньої сертифікації членів </w:t>
      </w:r>
      <w:r>
        <w:rPr>
          <w:szCs w:val="28"/>
        </w:rPr>
        <w:t xml:space="preserve">УТО;              </w:t>
      </w:r>
    </w:p>
    <w:p w14:paraId="69BC4510" w14:textId="645385E5" w:rsidR="00DB24F0" w:rsidRPr="00E83AC1" w:rsidRDefault="00DB24F0" w:rsidP="00DB24F0">
      <w:pPr>
        <w:pStyle w:val="ac"/>
        <w:spacing w:before="60" w:line="240" w:lineRule="auto"/>
        <w:ind w:left="-567" w:right="0" w:firstLine="567"/>
        <w:rPr>
          <w:szCs w:val="28"/>
        </w:rPr>
      </w:pPr>
      <w:r>
        <w:rPr>
          <w:szCs w:val="28"/>
        </w:rPr>
        <w:t xml:space="preserve">- </w:t>
      </w:r>
      <w:r w:rsidRPr="00E83AC1">
        <w:rPr>
          <w:szCs w:val="28"/>
        </w:rPr>
        <w:t xml:space="preserve">проходити курси з підвищення кваліфікації за відповідною </w:t>
      </w:r>
      <w:r w:rsidRPr="00DB24F0">
        <w:rPr>
          <w:szCs w:val="28"/>
        </w:rPr>
        <w:t>спеціалізацією</w:t>
      </w:r>
      <w:r>
        <w:rPr>
          <w:szCs w:val="28"/>
        </w:rPr>
        <w:t xml:space="preserve"> </w:t>
      </w:r>
      <w:r w:rsidRPr="00E83AC1">
        <w:rPr>
          <w:szCs w:val="28"/>
        </w:rPr>
        <w:t>один раз на два роки</w:t>
      </w:r>
      <w:r>
        <w:rPr>
          <w:szCs w:val="28"/>
        </w:rPr>
        <w:t>.</w:t>
      </w:r>
    </w:p>
    <w:p w14:paraId="6172D591" w14:textId="371E2CC3" w:rsidR="00DB24F0" w:rsidRPr="00DB24F0" w:rsidRDefault="00DB24F0" w:rsidP="00DB24F0">
      <w:pPr>
        <w:spacing w:before="12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>Заслужений експерт-оцінювач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УТО».</w:t>
      </w:r>
    </w:p>
    <w:p w14:paraId="0D7808B3" w14:textId="3E3C87A0" w:rsidR="00DB24F0" w:rsidRPr="00DB24F0" w:rsidRDefault="00DB24F0" w:rsidP="00DB24F0">
      <w:pPr>
        <w:spacing w:before="6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>Кваліфікаційне звання</w:t>
      </w:r>
      <w:r w:rsidRPr="00DB24F0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>Заслужений експерт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>оцінювач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 xml:space="preserve">присвоюється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 xml:space="preserve">ровідним експертам-оцінювачам, які внесли значний вклад в розвиток методології оцінки в Україні та були членами УТО не менш ніж 5 років. </w:t>
      </w:r>
    </w:p>
    <w:p w14:paraId="50F27984" w14:textId="10F146DD" w:rsidR="00DB24F0" w:rsidRPr="00DB24F0" w:rsidRDefault="00DB24F0" w:rsidP="00DB24F0">
      <w:pPr>
        <w:spacing w:before="6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>Кваліфікаційне звання</w:t>
      </w:r>
      <w:r w:rsidRPr="00DB24F0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>Заслужений експерт-оцінювач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УТО» 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 xml:space="preserve">присвоюється з'їздом УТО за поданням розширеної Ради УТО з включенням до роботи в ній Голів регіональних відділень УТО. </w:t>
      </w:r>
    </w:p>
    <w:p w14:paraId="012CA987" w14:textId="77777777" w:rsidR="00DB24F0" w:rsidRPr="00DB24F0" w:rsidRDefault="00DB24F0" w:rsidP="00DB24F0">
      <w:pPr>
        <w:spacing w:before="6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>На підставі заяви претендента та кваліфікаційного посвідчення провідного оцінювача УТО, а також інформаційного повідомлення про особистий внесок в розвиток методології оцінки в Україні.</w:t>
      </w:r>
    </w:p>
    <w:p w14:paraId="39390134" w14:textId="427F7BAD" w:rsidR="00DB24F0" w:rsidRDefault="00DB24F0" w:rsidP="00DB24F0">
      <w:pPr>
        <w:spacing w:before="6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>Заслужений експерт-оцінювач УТО повинен також виконувати обов’язки, передбачені для провідного експерта-оцінювача УТО.</w:t>
      </w:r>
    </w:p>
    <w:p w14:paraId="7230AB2E" w14:textId="36236722" w:rsidR="00DB24F0" w:rsidRPr="00DB24F0" w:rsidRDefault="00DB24F0" w:rsidP="00DB24F0">
      <w:pPr>
        <w:pStyle w:val="a3"/>
        <w:spacing w:before="120" w:beforeAutospacing="0" w:after="0" w:afterAutospacing="0"/>
        <w:ind w:left="-567"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DB24F0">
        <w:rPr>
          <w:sz w:val="28"/>
          <w:szCs w:val="28"/>
          <w:lang w:val="uk-UA"/>
        </w:rPr>
        <w:t xml:space="preserve">5. </w:t>
      </w:r>
      <w:r w:rsidRPr="00DB24F0">
        <w:rPr>
          <w:rFonts w:eastAsiaTheme="minorHAnsi"/>
          <w:sz w:val="28"/>
          <w:szCs w:val="28"/>
          <w:lang w:val="uk-UA" w:eastAsia="en-US"/>
        </w:rPr>
        <w:t>Подання Комітету з внутрішньої сертифікації УТО</w:t>
      </w:r>
      <w:r>
        <w:rPr>
          <w:rFonts w:eastAsiaTheme="minorHAnsi"/>
          <w:sz w:val="28"/>
          <w:szCs w:val="28"/>
          <w:lang w:val="uk-UA" w:eastAsia="en-US"/>
        </w:rPr>
        <w:t>.</w:t>
      </w:r>
    </w:p>
    <w:p w14:paraId="5EB04627" w14:textId="193E3965" w:rsidR="00DB24F0" w:rsidRPr="00DB24F0" w:rsidRDefault="00DB24F0" w:rsidP="00DB24F0">
      <w:pPr>
        <w:spacing w:before="6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 xml:space="preserve"> Протокол на присвоєння кваліфікаційних звань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>«Експерт-оцінювач УТО»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>«Провідний експерт-оцінювач УТО» та «Заслужений експерт-оцінювач УТО» готується на підставі:</w:t>
      </w:r>
    </w:p>
    <w:p w14:paraId="2B80318B" w14:textId="5380391D" w:rsidR="00DB24F0" w:rsidRPr="00DB24F0" w:rsidRDefault="00DB24F0" w:rsidP="00DB24F0">
      <w:pPr>
        <w:spacing w:before="6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>- заяви претендента та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DB24F0">
        <w:rPr>
          <w:rFonts w:ascii="Times New Roman" w:hAnsi="Times New Roman" w:cs="Times New Roman"/>
          <w:sz w:val="28"/>
          <w:szCs w:val="28"/>
          <w:lang w:val="uk-UA"/>
        </w:rPr>
        <w:t xml:space="preserve">або: подання Експертної Ради УТО, регіонального відділення УТО, Ради УТО; </w:t>
      </w:r>
    </w:p>
    <w:p w14:paraId="6FF96022" w14:textId="77777777" w:rsidR="00DB24F0" w:rsidRPr="00DB24F0" w:rsidRDefault="00DB24F0" w:rsidP="00DB24F0">
      <w:pPr>
        <w:numPr>
          <w:ilvl w:val="0"/>
          <w:numId w:val="11"/>
        </w:numPr>
        <w:autoSpaceDE w:val="0"/>
        <w:autoSpaceDN w:val="0"/>
        <w:adjustRightInd w:val="0"/>
        <w:spacing w:before="6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>інформації про діяльність оцінювача у галузі оцінки;</w:t>
      </w:r>
    </w:p>
    <w:p w14:paraId="7FE7D1C6" w14:textId="77777777" w:rsidR="00DB24F0" w:rsidRPr="00DB24F0" w:rsidRDefault="00DB24F0" w:rsidP="00DB24F0">
      <w:pPr>
        <w:pStyle w:val="ad"/>
        <w:numPr>
          <w:ilvl w:val="0"/>
          <w:numId w:val="11"/>
        </w:numPr>
        <w:autoSpaceDE w:val="0"/>
        <w:autoSpaceDN w:val="0"/>
        <w:adjustRightInd w:val="0"/>
        <w:spacing w:before="6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>висновку Експертної Ради УТО;</w:t>
      </w:r>
    </w:p>
    <w:p w14:paraId="7B679D2D" w14:textId="5D0CF322" w:rsidR="00DB24F0" w:rsidRPr="00DB24F0" w:rsidRDefault="00DB24F0" w:rsidP="00DB24F0">
      <w:pPr>
        <w:pStyle w:val="ad"/>
        <w:numPr>
          <w:ilvl w:val="0"/>
          <w:numId w:val="11"/>
        </w:numPr>
        <w:spacing w:before="6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>оплати за сертифікацію;</w:t>
      </w:r>
    </w:p>
    <w:p w14:paraId="2FB872D7" w14:textId="7E346458" w:rsidR="00DB24F0" w:rsidRPr="00DB24F0" w:rsidRDefault="00DB24F0" w:rsidP="00DB24F0">
      <w:pPr>
        <w:pStyle w:val="ad"/>
        <w:numPr>
          <w:ilvl w:val="0"/>
          <w:numId w:val="11"/>
        </w:numPr>
        <w:spacing w:before="60"/>
        <w:ind w:left="-567" w:firstLine="567"/>
        <w:jc w:val="both"/>
        <w:rPr>
          <w:rFonts w:ascii="Times New Roman" w:hAnsi="Times New Roman" w:cs="Times New Roman"/>
          <w:b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>результатів співбесіди з Комітетом з внутрішньої сертифікації УТО.</w:t>
      </w:r>
    </w:p>
    <w:p w14:paraId="3AFA7782" w14:textId="77777777" w:rsidR="00DB24F0" w:rsidRPr="00DB24F0" w:rsidRDefault="00DB24F0" w:rsidP="00DB24F0">
      <w:pPr>
        <w:pStyle w:val="ad"/>
        <w:spacing w:before="60"/>
        <w:ind w:left="0"/>
        <w:jc w:val="both"/>
        <w:rPr>
          <w:rFonts w:ascii="Times New Roman" w:hAnsi="Times New Roman" w:cs="Times New Roman"/>
          <w:b/>
          <w:lang w:val="uk-UA"/>
        </w:rPr>
      </w:pPr>
    </w:p>
    <w:p w14:paraId="71031330" w14:textId="35C793AA" w:rsidR="00DB24F0" w:rsidRDefault="00DB24F0" w:rsidP="00DB24F0">
      <w:pPr>
        <w:pStyle w:val="ad"/>
        <w:spacing w:before="12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>6. Позбавлення чи зміна кваліфікаційних звань проводиться Комітетом з внутрішньої сертифікації УТО відповідно до п.п.11, 12, 13, 14 Положення про порядок внутрішньої сертифікації членів УТО.</w:t>
      </w:r>
    </w:p>
    <w:p w14:paraId="4478A7A4" w14:textId="77777777" w:rsidR="00DB24F0" w:rsidRDefault="00DB24F0" w:rsidP="00DB24F0">
      <w:pPr>
        <w:pStyle w:val="ad"/>
        <w:spacing w:before="12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ABBDE4" w14:textId="5E961516" w:rsidR="00B520D6" w:rsidRPr="00DB24F0" w:rsidRDefault="00DB24F0" w:rsidP="00DB24F0">
      <w:pPr>
        <w:pStyle w:val="ad"/>
        <w:spacing w:before="6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4F0">
        <w:rPr>
          <w:rFonts w:ascii="Times New Roman" w:hAnsi="Times New Roman" w:cs="Times New Roman"/>
          <w:sz w:val="28"/>
          <w:szCs w:val="28"/>
          <w:lang w:val="uk-UA"/>
        </w:rPr>
        <w:t>7. Призупиняється дія абзаців чотири та вісім пункту 3. цього положення на термін дії воєнного стану в Україні.</w:t>
      </w:r>
    </w:p>
    <w:sectPr w:rsidR="00B520D6" w:rsidRPr="00DB24F0" w:rsidSect="0073397C">
      <w:pgSz w:w="11900" w:h="16840"/>
      <w:pgMar w:top="784" w:right="56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E41C9"/>
    <w:multiLevelType w:val="singleLevel"/>
    <w:tmpl w:val="FB02FDC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310DAB"/>
    <w:multiLevelType w:val="hybridMultilevel"/>
    <w:tmpl w:val="7FB85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3756D"/>
    <w:multiLevelType w:val="multilevel"/>
    <w:tmpl w:val="35C6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43294"/>
    <w:multiLevelType w:val="multilevel"/>
    <w:tmpl w:val="1E4E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0091D"/>
    <w:multiLevelType w:val="multilevel"/>
    <w:tmpl w:val="7F44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0585E"/>
    <w:multiLevelType w:val="multilevel"/>
    <w:tmpl w:val="95E63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783DB6"/>
    <w:multiLevelType w:val="multilevel"/>
    <w:tmpl w:val="4D60C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2B42CC"/>
    <w:multiLevelType w:val="multilevel"/>
    <w:tmpl w:val="7954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81A79"/>
    <w:multiLevelType w:val="multilevel"/>
    <w:tmpl w:val="8D80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141DB0"/>
    <w:multiLevelType w:val="multilevel"/>
    <w:tmpl w:val="6374B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951530"/>
    <w:multiLevelType w:val="hybridMultilevel"/>
    <w:tmpl w:val="3978024A"/>
    <w:lvl w:ilvl="0" w:tplc="FD2AD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48732C1"/>
    <w:multiLevelType w:val="multilevel"/>
    <w:tmpl w:val="8E54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F3E19"/>
    <w:multiLevelType w:val="multilevel"/>
    <w:tmpl w:val="1534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D6"/>
    <w:rsid w:val="00023F95"/>
    <w:rsid w:val="00122B9E"/>
    <w:rsid w:val="00140BE1"/>
    <w:rsid w:val="00142194"/>
    <w:rsid w:val="00212DFD"/>
    <w:rsid w:val="002E5FF6"/>
    <w:rsid w:val="002E71D4"/>
    <w:rsid w:val="003C4664"/>
    <w:rsid w:val="00472126"/>
    <w:rsid w:val="00477241"/>
    <w:rsid w:val="00527DE4"/>
    <w:rsid w:val="005C1F7D"/>
    <w:rsid w:val="00701C2F"/>
    <w:rsid w:val="0073397C"/>
    <w:rsid w:val="007D360D"/>
    <w:rsid w:val="007F4872"/>
    <w:rsid w:val="00810E69"/>
    <w:rsid w:val="00817016"/>
    <w:rsid w:val="009052C0"/>
    <w:rsid w:val="00934BB7"/>
    <w:rsid w:val="0096396F"/>
    <w:rsid w:val="00AD1ACA"/>
    <w:rsid w:val="00B520D6"/>
    <w:rsid w:val="00B61B23"/>
    <w:rsid w:val="00BC3D15"/>
    <w:rsid w:val="00C2392A"/>
    <w:rsid w:val="00DB04C9"/>
    <w:rsid w:val="00DB24F0"/>
    <w:rsid w:val="00E038A2"/>
    <w:rsid w:val="00E83AC1"/>
    <w:rsid w:val="00E9403C"/>
    <w:rsid w:val="00F7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1C92"/>
  <w15:docId w15:val="{BD236472-132C-8745-9FDA-99A02A38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83AC1"/>
    <w:pPr>
      <w:keepNext/>
      <w:widowControl w:val="0"/>
      <w:autoSpaceDE w:val="0"/>
      <w:autoSpaceDN w:val="0"/>
      <w:adjustRightInd w:val="0"/>
      <w:jc w:val="right"/>
      <w:outlineLvl w:val="1"/>
    </w:pPr>
    <w:rPr>
      <w:rFonts w:ascii="Times New Roman" w:eastAsia="Times New Roman" w:hAnsi="Times New Roman" w:cs="Times New Roman"/>
      <w:b/>
      <w:sz w:val="28"/>
      <w:szCs w:val="2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0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B52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E83AC1"/>
    <w:rPr>
      <w:rFonts w:ascii="Times New Roman" w:eastAsia="Times New Roman" w:hAnsi="Times New Roman" w:cs="Times New Roman"/>
      <w:b/>
      <w:sz w:val="28"/>
      <w:szCs w:val="22"/>
      <w:lang w:val="uk-UA" w:eastAsia="ru-RU"/>
    </w:rPr>
  </w:style>
  <w:style w:type="paragraph" w:styleId="a5">
    <w:name w:val="Body Text Indent"/>
    <w:basedOn w:val="a"/>
    <w:link w:val="a6"/>
    <w:semiHidden/>
    <w:rsid w:val="00E83AC1"/>
    <w:pPr>
      <w:widowControl w:val="0"/>
      <w:autoSpaceDE w:val="0"/>
      <w:autoSpaceDN w:val="0"/>
      <w:adjustRightInd w:val="0"/>
      <w:ind w:left="600"/>
      <w:jc w:val="both"/>
    </w:pPr>
    <w:rPr>
      <w:rFonts w:ascii="Times New Roman" w:eastAsia="Times New Roman" w:hAnsi="Times New Roman" w:cs="Times New Roman"/>
      <w:sz w:val="28"/>
      <w:szCs w:val="22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E83AC1"/>
    <w:rPr>
      <w:rFonts w:ascii="Times New Roman" w:eastAsia="Times New Roman" w:hAnsi="Times New Roman" w:cs="Times New Roman"/>
      <w:sz w:val="28"/>
      <w:szCs w:val="22"/>
      <w:lang w:val="uk-UA" w:eastAsia="ru-RU"/>
    </w:rPr>
  </w:style>
  <w:style w:type="paragraph" w:customStyle="1" w:styleId="a7">
    <w:basedOn w:val="a"/>
    <w:next w:val="a8"/>
    <w:link w:val="a9"/>
    <w:qFormat/>
    <w:rsid w:val="00E83AC1"/>
    <w:pPr>
      <w:widowControl w:val="0"/>
      <w:autoSpaceDE w:val="0"/>
      <w:autoSpaceDN w:val="0"/>
      <w:adjustRightInd w:val="0"/>
      <w:spacing w:line="260" w:lineRule="auto"/>
      <w:ind w:left="1360" w:right="1200"/>
      <w:jc w:val="center"/>
    </w:pPr>
    <w:rPr>
      <w:b/>
      <w:bCs/>
      <w:sz w:val="28"/>
      <w:lang w:val="uk-UA"/>
    </w:rPr>
  </w:style>
  <w:style w:type="character" w:customStyle="1" w:styleId="a9">
    <w:name w:val="Название Знак"/>
    <w:link w:val="a7"/>
    <w:rsid w:val="00E83AC1"/>
    <w:rPr>
      <w:b/>
      <w:bCs/>
      <w:sz w:val="28"/>
      <w:szCs w:val="24"/>
      <w:lang w:val="uk-UA"/>
    </w:rPr>
  </w:style>
  <w:style w:type="paragraph" w:styleId="a8">
    <w:name w:val="Title"/>
    <w:basedOn w:val="a"/>
    <w:next w:val="a"/>
    <w:link w:val="1"/>
    <w:uiPriority w:val="10"/>
    <w:qFormat/>
    <w:rsid w:val="00E83A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8"/>
    <w:uiPriority w:val="10"/>
    <w:rsid w:val="00E83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Body Text"/>
    <w:basedOn w:val="a"/>
    <w:link w:val="ab"/>
    <w:uiPriority w:val="99"/>
    <w:unhideWhenUsed/>
    <w:rsid w:val="00E83AC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83AC1"/>
  </w:style>
  <w:style w:type="paragraph" w:styleId="ac">
    <w:name w:val="Block Text"/>
    <w:basedOn w:val="a"/>
    <w:semiHidden/>
    <w:rsid w:val="00E83AC1"/>
    <w:pPr>
      <w:widowControl w:val="0"/>
      <w:autoSpaceDE w:val="0"/>
      <w:autoSpaceDN w:val="0"/>
      <w:adjustRightInd w:val="0"/>
      <w:spacing w:line="260" w:lineRule="auto"/>
      <w:ind w:left="640" w:right="-23" w:firstLine="494"/>
      <w:jc w:val="both"/>
    </w:pPr>
    <w:rPr>
      <w:rFonts w:ascii="Times New Roman" w:eastAsia="Times New Roman" w:hAnsi="Times New Roman" w:cs="Times New Roman"/>
      <w:sz w:val="28"/>
      <w:szCs w:val="22"/>
      <w:lang w:val="uk-UA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83AC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83AC1"/>
  </w:style>
  <w:style w:type="paragraph" w:styleId="ad">
    <w:name w:val="List Paragraph"/>
    <w:basedOn w:val="a"/>
    <w:uiPriority w:val="34"/>
    <w:qFormat/>
    <w:rsid w:val="00DB2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9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1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0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7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9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8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9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1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5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0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Тамара</cp:lastModifiedBy>
  <cp:revision>3</cp:revision>
  <dcterms:created xsi:type="dcterms:W3CDTF">2024-03-18T13:11:00Z</dcterms:created>
  <dcterms:modified xsi:type="dcterms:W3CDTF">2024-09-09T11:03:00Z</dcterms:modified>
</cp:coreProperties>
</file>